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626" w:rsidRDefault="00CA162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A1626" w:rsidRDefault="00CA1626">
      <w:pPr>
        <w:pStyle w:val="ConsPlusNormal"/>
        <w:jc w:val="both"/>
        <w:outlineLvl w:val="0"/>
      </w:pPr>
    </w:p>
    <w:p w:rsidR="00CA1626" w:rsidRDefault="00CA162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A1626" w:rsidRDefault="00CA1626">
      <w:pPr>
        <w:pStyle w:val="ConsPlusTitle"/>
        <w:jc w:val="center"/>
      </w:pPr>
    </w:p>
    <w:p w:rsidR="00CA1626" w:rsidRDefault="00CA1626">
      <w:pPr>
        <w:pStyle w:val="ConsPlusTitle"/>
        <w:jc w:val="center"/>
      </w:pPr>
      <w:r>
        <w:t>ПОСТАНОВЛЕНИЕ</w:t>
      </w:r>
    </w:p>
    <w:p w:rsidR="00CA1626" w:rsidRDefault="00CA1626">
      <w:pPr>
        <w:pStyle w:val="ConsPlusTitle"/>
        <w:jc w:val="center"/>
      </w:pPr>
      <w:r>
        <w:t>от 17 октября 2019 г. N 1333</w:t>
      </w:r>
    </w:p>
    <w:p w:rsidR="00CA1626" w:rsidRDefault="00CA1626">
      <w:pPr>
        <w:pStyle w:val="ConsPlusTitle"/>
        <w:jc w:val="center"/>
      </w:pPr>
    </w:p>
    <w:p w:rsidR="00CA1626" w:rsidRDefault="00CA1626">
      <w:pPr>
        <w:pStyle w:val="ConsPlusTitle"/>
        <w:jc w:val="center"/>
      </w:pPr>
      <w:r>
        <w:t>О ПОРЯДКЕ</w:t>
      </w:r>
    </w:p>
    <w:p w:rsidR="00CA1626" w:rsidRDefault="00CA1626">
      <w:pPr>
        <w:pStyle w:val="ConsPlusTitle"/>
        <w:jc w:val="center"/>
      </w:pPr>
      <w:r>
        <w:t>ФУНКЦИОНИРОВАНИЯ СЕТИ НАБЛЮДЕНИЯ И ЛАБОРАТОРНОГО КОНТРОЛЯ</w:t>
      </w:r>
    </w:p>
    <w:p w:rsidR="00CA1626" w:rsidRDefault="00CA1626">
      <w:pPr>
        <w:pStyle w:val="ConsPlusTitle"/>
        <w:jc w:val="center"/>
      </w:pPr>
      <w:r>
        <w:t>ГРАЖДАНСКОЙ ОБОРОНЫ И ЗАЩИТЫ НАСЕЛЕНИЯ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 гражданской обороне" Правительство Российской Федерации постановляет: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Правила</w:t>
        </w:r>
      </w:hyperlink>
      <w:r>
        <w:t xml:space="preserve"> функционирования сети наблюдения и лабораторного контроля гражданской обороны и защиты населения.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2. Настоящее постановление вступает в силу 29 октября 2019 г.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jc w:val="right"/>
      </w:pPr>
      <w:r>
        <w:t>Председатель Правительства</w:t>
      </w:r>
    </w:p>
    <w:p w:rsidR="00CA1626" w:rsidRDefault="00CA1626">
      <w:pPr>
        <w:pStyle w:val="ConsPlusNormal"/>
        <w:jc w:val="right"/>
      </w:pPr>
      <w:r>
        <w:t>Российской Федерации</w:t>
      </w:r>
    </w:p>
    <w:p w:rsidR="00CA1626" w:rsidRDefault="00CA1626">
      <w:pPr>
        <w:pStyle w:val="ConsPlusNormal"/>
        <w:jc w:val="right"/>
      </w:pPr>
      <w:r>
        <w:t>Д.МЕДВЕДЕВ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jc w:val="right"/>
        <w:outlineLvl w:val="0"/>
      </w:pPr>
      <w:r>
        <w:t>Утверждены</w:t>
      </w:r>
    </w:p>
    <w:p w:rsidR="00CA1626" w:rsidRDefault="00CA1626">
      <w:pPr>
        <w:pStyle w:val="ConsPlusNormal"/>
        <w:jc w:val="right"/>
      </w:pPr>
      <w:r>
        <w:t>постановлением Правительства</w:t>
      </w:r>
    </w:p>
    <w:p w:rsidR="00CA1626" w:rsidRDefault="00CA1626">
      <w:pPr>
        <w:pStyle w:val="ConsPlusNormal"/>
        <w:jc w:val="right"/>
      </w:pPr>
      <w:r>
        <w:t>Российской Федерации</w:t>
      </w:r>
    </w:p>
    <w:p w:rsidR="00CA1626" w:rsidRDefault="00CA1626">
      <w:pPr>
        <w:pStyle w:val="ConsPlusNormal"/>
        <w:jc w:val="right"/>
      </w:pPr>
      <w:r>
        <w:t>от 17 октября 2019 г. N 1333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</w:pPr>
      <w:bookmarkStart w:id="0" w:name="P27"/>
      <w:bookmarkEnd w:id="0"/>
      <w:r>
        <w:t>ПРАВИЛА</w:t>
      </w:r>
    </w:p>
    <w:p w:rsidR="00CA1626" w:rsidRDefault="00CA1626">
      <w:pPr>
        <w:pStyle w:val="ConsPlusTitle"/>
        <w:jc w:val="center"/>
      </w:pPr>
      <w:r>
        <w:t>ФУНКЦИОНИРОВАНИЯ СЕТИ НАБЛЮДЕНИЯ И ЛАБОРАТОРНОГО КОНТРОЛЯ</w:t>
      </w:r>
    </w:p>
    <w:p w:rsidR="00CA1626" w:rsidRDefault="00CA1626">
      <w:pPr>
        <w:pStyle w:val="ConsPlusTitle"/>
        <w:jc w:val="center"/>
      </w:pPr>
      <w:r>
        <w:t>ГРАЖДАНСКОЙ ОБОРОНЫ И ЗАЩИТЫ НАСЕЛЕНИЯ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1. Настоящие Правила определяют порядок функционирования сети наблюдения и лабораторного контроля гражданской обороны и защиты населения (далее - сеть наблюдения и лабораторного контроля) в целях защиты населения, материальных и культурных ценностей от опасностей радиационного, химического и биологического характера,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2. Сеть наблюдения и лабораторного контроля представляет собой совокупность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 (далее - учреждения сети наблюдения и лабораторного контроля), осуществляющих функции наблюдения и контроля за радиационной, химической, биологической обстановкой на территории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3. Федеральный орган исполнительной власти, уполномоченный на решение задач в области гражданской обороны совместно с иными федеральными органами исполнительной власти, Государственной корпорацией по атомной энергии "Росатом", органами государственной власти субъектов Российской Федерации через органы, уполномоченные решать задачи гражданской </w:t>
      </w:r>
      <w:r>
        <w:lastRenderedPageBreak/>
        <w:t>обороны и задачи по предупреждению и ликвидации чрезвычайных ситуаций по субъектам Российской Федерации, организует взаимодействие и координирует деятельность учреждений сети наблюдения и лабораторного контроля.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4. Функционирование сети наблюдения и лабораторного контроля на территории Российской Федерации начинается с введением в действие Президентом Российской Федерации Плана гражданской обороны и защиты населения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5. Сеть наблюдения и лабораторного контроля состоит из федеральных и территориальных подсетей.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6. Федеральные органы исполнительной власти, Государственная корпорация по атомной энергии "Росатом", исходя из возложенных на них задач в области гражданской обороны, определяют состав учреждений сети наблюдения и лабораторного контроля и осуществляют непосредственное руководство деятельностью таких подсетей.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Функции федеральных подсетей сети наблюдения и лабораторного контроля предусмотрены </w:t>
      </w:r>
      <w:hyperlink w:anchor="P82" w:history="1">
        <w:r>
          <w:rPr>
            <w:color w:val="0000FF"/>
          </w:rPr>
          <w:t>приложением</w:t>
        </w:r>
      </w:hyperlink>
      <w:r>
        <w:t xml:space="preserve"> к настоящим Правилам.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Федеральные органы исполнительной власти и их территориальные органы обеспечивают функционирование своих функциональных подсетей сети наблюдения и лабораторного контроля в пределах установленной численности работников их центральных аппаратов и территориальных органов,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7. Органы государственной власти субъектов Российской Федерации, исходя из возложенных на них задач в области гражданской обороны, определяют состав учреждений сети наблюдения и лабораторного контроля территориальных подсетей и осуществляют непосредственное руководство деятельностью таких подсетей.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Органы государственной власти субъектов Российской Федерации предусматривают финансовое обеспечение расходов, связанных с функционированием своей территориальной подсети сети наблюдения и лабораторного контроля, при формировании проектов бюджетов субъектов Российской Федерации на очередной финансовый год и плановый период.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8. Координация деятельности и методическое руководство сетью наблюдения и лабораторного контроля осуществляется: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на федеральном уровне - федеральным органом исполнительной власти, уполномоченным на решение задач в области гражданской обороны;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на региональном уровне -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9. Основными задачами сети наблюдения и лабораторного контроля являются: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наблюдение, своевременное обнаружение опасностей возникновения радиоактивного загрязнения, химического и биологического заражения компонентов природной среды, природных и природно-антропогенных объектов (далее - окружающая среда), продовольствия, сырья животного и растительного происхождения, индикация возбудителей инфекционных заболеваний, в том числе общих для человека и животных, патогенных биологических агентов, вызывающих инфекционные болезни человека, животных и поражение растений вредными и особо опасными организмами, а также представление сведений о возникновении возможных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lastRenderedPageBreak/>
        <w:t>б) 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 и биологическому заражению.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10. Основными функциями сети наблюдения и лабораторного контроля являются: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наблюдение и лабораторный контроль за состоянием радиационной, химической и биологической обстановкой на территории Российской Федерации;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установление наличия в окружающей среде и вида патогенных биологических агентов, вызывающих инфекционные болезни человека, животных, вредных и особо опасных вредных организмов на объектах растениеводства и территориях сельскохозяйственных угодий;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отбор и доставка проб в специализированные учреждения для проведения исследований по определению загрязненности радиоактивными веществами, зараженности отравляющими веществами, аварийно химически опасными веществами и биологическими средствами;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выработка предложений по повышению эффективности деятельности сети наблюдения и лабораторного контроля в условиях опасностей радиационного, химического и биологического характера,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11. Информация о возможных опасностях радиационного, химического и биологического характера, а также о принимаемых мерах по их локализации представляется не позднее одного часа после обнаружения опасности: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учреждениями федеральной подсети сети наблюдения и лабораторного контроля - в федеральные органы исполнительной власти, Государственную корпорацию по атомной энергии "Росатом",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и органы государственной власти субъекта Российской Федерации;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федеральными органами исполнительной власти, Государственной корпорацией по атомной энергии "Росатом",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Федерации, органами государственной власти субъектов Российской Федерации - в федеральный орган исполнительной власти, уполномоченный на решение задач в области гражданской обороны;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учреждениями сети наблюдения и лабораторного контроля территориальной подсети - в органы государственной власти субъектов Российской Федерации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органами государственной власти субъекта Российской Федерации - в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12. Взаимодействие и координация деятельности сети наблюдения и лабораторного контроля осуществляется с использованием технических средств органов, осуществляющих управление гражданской обороной.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13. Федеральный орган исполнительной власти, уполномоченный на решение задач в области гражданской обороны, при координации деятельности и методическом руководстве сетью наблюдения и лабораторного контроля обеспечивает: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lastRenderedPageBreak/>
        <w:t>а) разработку и утверждение организационно-методических рекомендаций по организации деятельности сети наблюдения и лабораторного контроля;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внедрение единых стандартов обмена информацией;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сбор и обработку информации о выполнении мероприятий по защите населения и территорий от опасностей радиационного, химического и биологического характера, а также обмен такой информацией между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Федерации, и учреждениями сети наблюдения и лабораторного контроля;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информирование населения об угрозах радиационного, химического и биологического характера;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контроль за участием учреждений сети наблюдения и лабораторного контроля в учениях и тренировках, проводимых органами,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14. Материально-техническое обеспечение сети наблюдения и лабораторного контроля осуществляется за счет бюджетных ассигнований федерального бюджета, бюджетных ассигнований бюджетов субъектов Российской Федерации, а также за счет средств организаций.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15. Организация обучения руководителей учреждений сети наблюдения и лабораторного контроля проводится в образовательных учреждениях федерального органа исполнительной власти, уполномоченного на решение задач в области гражданской обороны в соответствии с законодательством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Организация обучения специалистов учреждений сети наблюдения и лабораторного контроля осуществляется в соответствующих федеральных органах исполнительной власти, органах государственной власти субъектов Российской Федерации и организациях в соответствии с законодательством Российской Федерации.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16. Отчеты о работе и состоянии федеральных подсетей сети наблюдения и лабораторного контроля представляются иными федеральными органами исполнительной власти, Государственной корпорацией по атомной энергии "Росатом" в федеральный орган исполнительной власти, уполномоченный на решение задач в области гражданской обороны, в составе материалов для доклада о состоянии защиты населения и территорий федерального органа исполнительной власти, Государственной корпорации по атомной энергии "Росатом" от чрезвычайных ситуаций природного и техногенного характера и доклада о состоянии гражданской обороны.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Отчеты о работе и состоянии территориальных подсетей сети наблюдения и лабораторного контроля представляются органами государственной власти субъектов Российской Федерации в федеральный орган исполнительной власти, уполномоченный на решение задач в области гражданской обороны, через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в составе материалов для доклада о состоянии защиты населения и территорий субъекта Российской Федерации от чрезвычайных ситуаций природного и техногенного характера и доклада о состоянии гражданской обороны.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17. Приведение в готовность учреждений сети наблюдения и лабораторного контроля осуществляется по соответствующим планам.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18. Готовность учреждений сети наблюдения и лабораторного контроля к выполнению возложенных на них задач обеспечивается федеральными органами исполнительной власти, </w:t>
      </w:r>
      <w:r>
        <w:lastRenderedPageBreak/>
        <w:t>Государственной корпорацией по атомной энергии "Росатом", органами государственной власти субъектов Российской Федерации и проверяется в ходе учений (тренировок), проверок по гражданской обороне.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jc w:val="right"/>
        <w:outlineLvl w:val="1"/>
      </w:pPr>
      <w:r>
        <w:t>Приложение</w:t>
      </w:r>
    </w:p>
    <w:p w:rsidR="00CA1626" w:rsidRDefault="00CA1626">
      <w:pPr>
        <w:pStyle w:val="ConsPlusNormal"/>
        <w:jc w:val="right"/>
      </w:pPr>
      <w:r>
        <w:t>к Правилам функционирования сети</w:t>
      </w:r>
    </w:p>
    <w:p w:rsidR="00CA1626" w:rsidRDefault="00CA1626">
      <w:pPr>
        <w:pStyle w:val="ConsPlusNormal"/>
        <w:jc w:val="right"/>
      </w:pPr>
      <w:r>
        <w:t>наблюдения и лабораторного</w:t>
      </w:r>
    </w:p>
    <w:p w:rsidR="00CA1626" w:rsidRDefault="00CA1626">
      <w:pPr>
        <w:pStyle w:val="ConsPlusNormal"/>
        <w:jc w:val="right"/>
      </w:pPr>
      <w:r>
        <w:t>контроля гражданской обороны</w:t>
      </w:r>
    </w:p>
    <w:p w:rsidR="00CA1626" w:rsidRDefault="00CA1626">
      <w:pPr>
        <w:pStyle w:val="ConsPlusNormal"/>
        <w:jc w:val="right"/>
      </w:pPr>
      <w:r>
        <w:t>и защиты населения</w:t>
      </w:r>
    </w:p>
    <w:p w:rsidR="00CA1626" w:rsidRDefault="00CA1626">
      <w:pPr>
        <w:pStyle w:val="ConsPlusNormal"/>
        <w:jc w:val="center"/>
      </w:pPr>
    </w:p>
    <w:p w:rsidR="00CA1626" w:rsidRDefault="00CA1626">
      <w:pPr>
        <w:pStyle w:val="ConsPlusTitle"/>
        <w:jc w:val="center"/>
      </w:pPr>
      <w:bookmarkStart w:id="1" w:name="P82"/>
      <w:bookmarkEnd w:id="1"/>
      <w:r>
        <w:t>ФУНКЦИИ</w:t>
      </w:r>
    </w:p>
    <w:p w:rsidR="00CA1626" w:rsidRDefault="00CA1626">
      <w:pPr>
        <w:pStyle w:val="ConsPlusTitle"/>
        <w:jc w:val="center"/>
      </w:pPr>
      <w:r>
        <w:t>ФЕДЕРАЛЬНЫХ ПОДСЕТЕЙ СЕТИ НАБЛЮДЕНИЯ И ЛАБОРАТОРНОГО</w:t>
      </w:r>
    </w:p>
    <w:p w:rsidR="00CA1626" w:rsidRDefault="00CA1626">
      <w:pPr>
        <w:pStyle w:val="ConsPlusTitle"/>
        <w:jc w:val="center"/>
      </w:pPr>
      <w:r>
        <w:t>КОНТРОЛЯ ГРАЖДАНСКОЙ ОБОРОНЫ И ЗАЩИТЫ НАСЕЛЕНИЯ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I. Подсеть Министерства Российской Федерации по делам</w:t>
      </w:r>
    </w:p>
    <w:p w:rsidR="00CA1626" w:rsidRDefault="00CA1626">
      <w:pPr>
        <w:pStyle w:val="ConsPlusTitle"/>
        <w:jc w:val="center"/>
      </w:pPr>
      <w:r>
        <w:t>гражданской обороны, чрезвычайным ситуациям и ликвидации</w:t>
      </w:r>
    </w:p>
    <w:p w:rsidR="00CA1626" w:rsidRDefault="00CA1626">
      <w:pPr>
        <w:pStyle w:val="ConsPlusTitle"/>
        <w:jc w:val="center"/>
      </w:pPr>
      <w:r>
        <w:t>последствий стихийных бедствий</w:t>
      </w:r>
    </w:p>
    <w:p w:rsidR="00CA1626" w:rsidRDefault="00CA1626">
      <w:pPr>
        <w:pStyle w:val="ConsPlusNormal"/>
        <w:jc w:val="center"/>
      </w:pPr>
    </w:p>
    <w:p w:rsidR="00CA1626" w:rsidRDefault="00CA1626">
      <w:pPr>
        <w:pStyle w:val="ConsPlusNormal"/>
        <w:ind w:firstLine="540"/>
        <w:jc w:val="both"/>
      </w:pPr>
      <w:r>
        <w:t>1. Федеральное государственное бюджетное учреждение "Всероссийский научно-исследовательский институт по проблемам гражданской обороны и чрезвычайных ситуаций МЧС России" (федеральный центр науки и высоких технологий) осуществляет: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разработку предложений по вопросам наблюдения и лабораторного контроля за загрязненностью (зараженностью) продуктов питания, сырья животного и растительного происхождения, природной среды, природных и природно-антропогенных объектов (далее - окружающая среда) потенциально опасными в радиационном, химическом и биологическом отношении продуктами и веществами;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организацию и проведение лабораторных исследований и анализов окружающей среды;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разработку предложений по повышению эффективности функционирования сети наблюдения и лабораторного контроля гражданской обороны и защиты населения (далее - сеть наблюдения и лабораторного контроля);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разработку предложений по развитию и совершенствованию технологий прогнозирования радиоактивного загрязнения, химического и биологического заражения и выработку предложений по ее нормализации;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разработку и внедрение методов по сбору, обобщению и анализу информации о радиоактивном загрязнении, химическом и биологическом заражении окружающей среды;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е) разработку предложений по совершенствованию методов обнаружения и обозначения районов, подвергшихся радиоактивному загрязнению, химическому и биологическому заражению;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ж) участие в проведении контрольных радиометрических, радиохимических, спектрометрических, химических, биологических и токсикологических анализов окружающей среды, продовольствия, сырья животного и растительного происхождения;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з) организацию обучения руководителей учреждений сети наблюдения и лабораторного контроля.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lastRenderedPageBreak/>
        <w:t>2. Химико-радиометрические лаборатории Министерства Российской Федерации по делам гражданской обороны, чрезвычайным ситуациям и ликвидации последствий стихийных бедствий осуществляют проведение радиометрических, радиохимических, спектрометрических, химических и токсикологических анализов окружающей среды, продовольствия, сырья животного и растительного происхождения.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II. Подсеть Министерства здравоохранения</w:t>
      </w:r>
    </w:p>
    <w:p w:rsidR="00CA1626" w:rsidRDefault="00CA1626">
      <w:pPr>
        <w:pStyle w:val="ConsPlusTitle"/>
        <w:jc w:val="center"/>
      </w:pPr>
      <w:r>
        <w:t>Российской Федерации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3. Национальный центр мониторинга биологических рисков, функционирующий на базе федерального государственного бюджетного учреждения "Центр стратегического планирования и управления медико-биологическими рисками здоровью" Министерства здравоохранения Российской Федерации, осуществляет сбор и обработку информации о результатах лабораторной диагностики инфекционных заболеваний и микробиологических исследований, о выявленных биологических угрозах с целью анализа связанных с ними биологических рисков, принятии мер оперативного реагирования и осуществления мероприятий по их нейтрализации.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4. Организации, находящиеся в ведении Министерства здравоохранения Российской Федерации, осуществляют лабораторную диагностику инфекционных заболеваний человека, микробиологические (в том числе бактериологические, вирусологические и паразитарные) исследования.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5. Организации, находящиеся в ведении Федерального медико-биологического агентства, и силы, создаваемые на их базе,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наблюдение и лабораторный контроль за состоянием радиационной, химической и биологической обстановки в организациях отдельных отраслей экономики с особо опасными условиями труда и на отдельных территориях Российской Федерации;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обнаружение радиоактивного загрязнения, химического и биологического заражения окружающей среды, продовольствия, диагностику инфекционных заболеваний и болезней;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 и биологическому заражению;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отбор и доставку проб окружающей среды, а также забор и доставку биоматериала от больных (подозрительных) инфекционным заболеванием в микробиологические лаборатории подведомственных учреждений;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установление вида патогенных биологических агентов III - IV групп патогенности в пробах из окружающей среды и биоматериале от больных (подозрительных) инфекционным заболеванием;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е) проведение идентификации выделенных штаммов микроорганизмов и токсинов III - IV групп патогенности;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ж) проведение комплекса санитарно-противоэпидемических (профилактических) мероприятий, внесение предложений о введении (об отмене) ограничительных и других мер с учетом санитарно-эпидемиологической обстановки;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з) установление в окружающей среде и среде обитания наличия радиоактивных, отравляющих, аварийно химически опасных веществ и биологических средств;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и) проведение экспертизы продуктов питания на наличие радиоактивных, отравляющих, аварийно химически опасных веществ и биологических средств с выдачей заключения о </w:t>
      </w:r>
      <w:r>
        <w:lastRenderedPageBreak/>
        <w:t>пригодности их к использованию по назначению;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к) измерение мощности дозы ионизирующего излучения;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л) определение удельной и объемной активности радионуклидов в окружающей среде, пробах продовольствия на объекте;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м) установление радионуклидного изотопного состава исследуемых проб;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н) установление границ зон радиоактивного загрязнения, химического и биологического заражения.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6. Всероссийская служба медицины катастроф обеспечивает привлечение сил и средств в соответствии с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Всероссийской службе медицины катастроф, утвержденным постановлением Правительства Российской Федерации от 26 августа 2013 г. N 734 "Об утверждении Положения о Всероссийской службе медицины катастроф".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III. Подсеть Министерства науки и высшего образования</w:t>
      </w:r>
    </w:p>
    <w:p w:rsidR="00CA1626" w:rsidRDefault="00CA1626">
      <w:pPr>
        <w:pStyle w:val="ConsPlusTitle"/>
        <w:jc w:val="center"/>
      </w:pPr>
      <w:r>
        <w:t>Российской Федерации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7. Научные и образовательные организации высшего образования, находящиеся в ведении Министерства науки и высшего образования Российской Федерации и осуществляющие научную и образовательную деятельность в области химии, токсикологии, радиологии, биологии, гигиены, ветеринарии, агрохимии и фитопатологии,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разработку методов выявления и оценки радиоактивного загрязнения и индикации отравляющих веществ, аварийно химически опасных веществ и биологических средств в окружающей среде, продовольствии, сырье животного и растительного происхождения, а также в пробах патологического материала, отобранных у людей и животных;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развертывание в зонах опасностей на базе своих лабораторий (подразделений) профильных центров индикации патогенных биологических агентов, химических, токсикологических, радиологических, эпизоотологических и фитопатологических центров с возложением на них задач по индикации химических веществ, биологических средств, идентификации выявленных штаммов микроорганизмов, проведению экспертных анализов по токсикологии, радиологии, эпизоотологии, фитопатологии и химико-аналитическим исследованиям;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выявление, оценку и прогнозирование радиационной, химической и биологической обстановки, складывающейся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подготовку предложений для разработки государственных стандартных образцов, контрольных проб, используемых при проведении проверок готовности учреждений сети наблюдения и лабораторного контроля к действиям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обучение специалистов для учреждений сети наблюдения и лабораторного контроля.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IV. Подсеть Министерства природных ресурсов и экологии</w:t>
      </w:r>
    </w:p>
    <w:p w:rsidR="00CA1626" w:rsidRDefault="00CA1626">
      <w:pPr>
        <w:pStyle w:val="ConsPlusTitle"/>
        <w:jc w:val="center"/>
      </w:pPr>
      <w:r>
        <w:t>Российской Федерации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8. Гидрометеорологические станции и посты Федеральной службы по гидрометеорологии и мониторингу окружающей среды осуществляют измерение мощности амбиентного эквивалента дозы гамма-излучения.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9. Лаборатории радиационного контроля, подведомственные Федеральному агентству лесного хозяйства,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lastRenderedPageBreak/>
        <w:t>а) измерение мощности дозы ионизирующих излучений на землях лесного фонда;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определение степени радиоактивного загрязнения почвы и лесной растительности на землях лесного фонда;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определение удельной активности радионуклидов в пробах почвы и лесной растительности на землях лесного фонда;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установление границ районов радиоактивного загрязнения на землях лесного фонда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выявление, оценку и прогнозирование радиационной и радиационно-пирологической обстановки в лесах, находящихся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е) обеспечение дозиметрического контроля работников лесного хозяйства, находящихся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ж) развертывание сводных оперативных полевых бригад вне зон ответственности действующих лабораторий сети наблюдения и лабораторного контроля или для их усиления.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V. Подсеть Министерства промышленности и торговли</w:t>
      </w:r>
    </w:p>
    <w:p w:rsidR="00CA1626" w:rsidRDefault="00CA1626">
      <w:pPr>
        <w:pStyle w:val="ConsPlusTitle"/>
        <w:jc w:val="center"/>
      </w:pPr>
      <w:r>
        <w:t>Российской Федерации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10. Организации, подведомственные Министерству промышленности и торговли Российской Федерации, и силы, создаваемые на их базе в организациях отраслей промышленности на опасных производственных объектах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наблюдение и лабораторный контроль состояния химической обстановки в организациях отраслей промышленности на опасных производственных объектах;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обнаружение химического заражения в районе расположения организации;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проведение оценки обстановки для установления границ районов, подвергшихся химическому заражению в районе расположения организации;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установление в окружающей среде наличия отравляющих и аварийно химически опасных веществ.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11. Организации, подведомственные Министерству промышленности и торговли Российской Федерации, и силы, создаваемые на их базе в организациях отраслей промышленности, имеющих в обращении радиоактивные отходы низкой и средней активности и источники ионизирующего излучения,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измерение мощности ионизирующего излучения в районе расположения организации;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измерение характеристик источников излучений любого происхождения в районе расположения организации;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установление границ районов радиоактивного загрязнения и обозначение районов, подвергшихся радиоактивному загрязнению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установление радионуклидного состава исследуемых проб.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VI. Подсеть Министерства сельского хозяйства</w:t>
      </w:r>
    </w:p>
    <w:p w:rsidR="00CA1626" w:rsidRDefault="00CA1626">
      <w:pPr>
        <w:pStyle w:val="ConsPlusTitle"/>
        <w:jc w:val="center"/>
      </w:pPr>
      <w:r>
        <w:t>Российской Федерации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lastRenderedPageBreak/>
        <w:t>12. Организации, подведомственные Федеральной службе по ветеринарному и фитосанитарному надзору,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установление вида возбудителей заразных заболеваний животных в подозрительных материалах, отобранных от животных, а также в пробах подконтрольной государственной ветеринарной службе продукции и воды в местах водопоя животных;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лабораторную диагностику заразных болезней животных;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идентификацию выделенных штаммов микроорганизмов возбудителей инфекционных болезней животных и их токсинов;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обнаружение и обозначение районов, подвергшихся радиоактивному загрязнению, химическому и биологическому заражению растений и животных;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определение удельной и объемной активности радионуклидов в пробах подконтрольной государственной ветеринарной службе продукции на контролируемых объектах;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е) установление радионуклидного состава исследуемых проб материалов, загрязненных радиоактивными веществами;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ж) определение зараженности сельскохозяйственных животных, подконтрольной государственной ветеринарной службе продукции, отравляющих, аварийно химически опасных веществ, а также осуществление их индикации;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з) отбор проб из объектов ветеринарного надзора в очагах поражения радиоактивными, отравляющими, аварийно химически опасными веществами и биологическими средствами, отбор проб биологического (патологического) материала от больных (трупов) животных, подозрительных на случаи инфекционных болезней, а также вызывающих чрезвычайные ситуации в области ветеринарного надзора, локализацию и упаковку отобранных проб и объектов, имеющих подозрение на наличие патогенных биологических агентов, и доставку таких проб в специализированные ветеринарные учреждения;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и) проведение лабораторных исследований проб от животных, пораженных радиоактивными, отравляющими, аварийно химически опасными веществами, с выдачей результатов испытаний лабораторных исследований;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к) проведение ветеринарно-санитарной экспертизы подконтрольной государственной ветеринарной службе продукции, воды (для водопоя сельскохозяйственных животных), загрязненных радиоактивными веществами, зараженных отравляющими веществами, аварийно химически опасными веществами и биологическими средствами, с выдачей заключения о результатах лабораторных исследований;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л) прогнозирование и оценку радиационной, химической и биологической обстановки в целях обоснования планируемых защитных мероприятий;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м) оказание методической помощи лабораториям ветеринарно-санитарной экспертизы на закрепленной территории и профессиональную подготовку специалистов.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13. Федеральные государственные бюджетные учреждения, центры и станции агрохимической службы, центры химизации и сельскохозяйственной радиологии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проведение агрохимического и эколого-токсикологического обследования почв земель сельскохозяйственного назначения;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б) проведение учета показателей состояния плодородия почв земель сельскохозяйственного </w:t>
      </w:r>
      <w:r>
        <w:lastRenderedPageBreak/>
        <w:t>назначения.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VII. Подсеть Федеральной службы по надзору в сфере защиты</w:t>
      </w:r>
    </w:p>
    <w:p w:rsidR="00CA1626" w:rsidRDefault="00CA1626">
      <w:pPr>
        <w:pStyle w:val="ConsPlusTitle"/>
        <w:jc w:val="center"/>
      </w:pPr>
      <w:r>
        <w:t>прав потребителей и благополучия человека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14. Органы и организации Федеральной службы по надзору в сфере защиты прав потребителей и благополучия человека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организацию выезда групп санитарно-эпидемиологической разведки со средствами защиты, отбора и транспортировки проб;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проведение оценки санитарно-эпидемиологической обстановки и прогнозирование ее развития в районе обнаружения объектов, имеющих подозрение на наличие патогенных биологических агентов, аварийно химически опасных и радиоактивных веществ;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отбор проб из окружающей среды, а также отбор проб клинического материала от больных (трупов), подозрительных на случаи инфекционных болезней, вызывающих чрезвычайные ситуации в области санитарно-эпидемиологического благополучия населения, и доставку таких проб в специализированные учреждения;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г) забор и доставку проб при подозрении в них патогенных биологических агентов I - II групп патогенности в лаборатории опасных инфекционных болезней федерального бюджетного учреждения здравоохранения "Федеральный центр гигиены и эпидемиологии" в субъекте Российской Федерации, противочумные организации, вирусологические центры или центры индикации и диагностики опасных инфекционных болезней и отравлений химическими веществами на базе организаций, дислоцированных в федеральных округах Российской Федерации. Забор проб от больных осуществляется под руководством специалистов лабораторий опасных инфекционных болезней федерального бюджетного учреждения здравоохранения "Федеральный центр гигиены и эпидемиологии" в субъекте Российской Федерации, противочумных учреждений и вирусологических центров;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д) локализацию и упаковку объектов, имеющих подозрение на наличие патогенных биологических агентов;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е) обнаружение и обозначение районов, подвергшихся радиоактивному загрязнению, химическому и биологическому заражению;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ж) установление вида возбудителей инфекционных болезней в доставленных пробах;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з) идентификацию выделенных штаммов микроорганизмов возбудителей инфекционных болезней и токсинов;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и) выработку прогноза санитарно-эпидемиологической обстановки в районе обнаружения объектов, подозреваемых на наличие патогенных биологических агентов, аварийно химически опасных и радиоактивных веществ;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к) организацию мероприятий по изоляции лиц, контактировавших с объектом, подозреваемым на наличие патогенных биологических агентов, аварийно химически опасных и радиоактивных веществ, а также мероприятий экстренной профилактики;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л) организацию мероприятий, направленных на предупреждение и ликвидацию чрезвычайных ситуаций санитарно-эпидемиологического характера, возникших при военных конфликтах или вследствие этих конфликтов;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 xml:space="preserve">м) проведение экспертизы продовольствия, сырья животного и растительного происхождения, воды, атмосферного воздуха на наличие радиоактивных, аварийно химически </w:t>
      </w:r>
      <w:r>
        <w:lastRenderedPageBreak/>
        <w:t>опасных веществ и биологических средств с выдачей соответствующего заключения о пригодности их к использованию по назначению;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н) установление радионуклидного состава исследуемых проб;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о) определение удельной и объемной активности радионуклидов в продовольствии, сырье животного и растительного происхождения на контролируемых объектах;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п) измерение мощности дозы ионизирующих излучений в районе расположения учреждения;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р) проведение комплекса санитарно-противоэпидемических (профилактических) мероприятий, внесение предложений о введении (об отмене) ограничительных и других мер с учетом санитарно-эпидемиологической обстановки;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с) оказание методической помощи учреждениям сети наблюдения и лабораторного контроля на подведомственной территории.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Title"/>
        <w:jc w:val="center"/>
        <w:outlineLvl w:val="2"/>
      </w:pPr>
      <w:r>
        <w:t>VIII. Подсеть Государственной корпорации по атомной</w:t>
      </w:r>
    </w:p>
    <w:p w:rsidR="00CA1626" w:rsidRDefault="00CA1626">
      <w:pPr>
        <w:pStyle w:val="ConsPlusTitle"/>
        <w:jc w:val="center"/>
      </w:pPr>
      <w:r>
        <w:t>энергии "Росатом"</w:t>
      </w:r>
    </w:p>
    <w:p w:rsidR="00CA1626" w:rsidRDefault="00CA1626">
      <w:pPr>
        <w:pStyle w:val="ConsPlusNormal"/>
        <w:ind w:firstLine="540"/>
        <w:jc w:val="both"/>
      </w:pPr>
    </w:p>
    <w:p w:rsidR="00CA1626" w:rsidRDefault="00CA1626">
      <w:pPr>
        <w:pStyle w:val="ConsPlusNormal"/>
        <w:ind w:firstLine="540"/>
        <w:jc w:val="both"/>
      </w:pPr>
      <w:r>
        <w:t>15. Отделения филиалов федерального государственного унитарного предприятия "Предприятие по обращению с радиоактивными отходами "РосРАО" осуществляют: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а) измерение мощности дозы ионизирующих излучений в районе расположения филиалов;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б) обнаружение и обозначение районов, подвергшихся радиоактивному загрязнению в зонах опасностей;</w:t>
      </w:r>
    </w:p>
    <w:p w:rsidR="00CA1626" w:rsidRDefault="00CA1626">
      <w:pPr>
        <w:pStyle w:val="ConsPlusNormal"/>
        <w:spacing w:before="220"/>
        <w:ind w:firstLine="540"/>
        <w:jc w:val="both"/>
      </w:pPr>
      <w:r>
        <w:t>в) установление радионуклидного состава исследуемых проб.</w:t>
      </w:r>
    </w:p>
    <w:p w:rsidR="00CA1626" w:rsidRDefault="00CA1626">
      <w:pPr>
        <w:pStyle w:val="ConsPlusNormal"/>
        <w:jc w:val="both"/>
      </w:pPr>
    </w:p>
    <w:p w:rsidR="00CA1626" w:rsidRDefault="00CA1626">
      <w:pPr>
        <w:pStyle w:val="ConsPlusNormal"/>
        <w:jc w:val="both"/>
      </w:pPr>
    </w:p>
    <w:p w:rsidR="00CA1626" w:rsidRDefault="00CA162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3098" w:rsidRDefault="00D83098">
      <w:bookmarkStart w:id="2" w:name="_GoBack"/>
      <w:bookmarkEnd w:id="2"/>
    </w:p>
    <w:sectPr w:rsidR="00D83098" w:rsidSect="00550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26"/>
    <w:rsid w:val="00CA1626"/>
    <w:rsid w:val="00D8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0BF31-E93D-4DBE-9AA8-939EC5B1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1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16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E140F8FBB8E79C38A4FEB848DBD327592B77C4A8AB5ADFE88C981B9CE8E7B11F9B3FE16867D1C16A5G" TargetMode="External"/><Relationship Id="rId5" Type="http://schemas.openxmlformats.org/officeDocument/2006/relationships/hyperlink" Target="consultantplus://offline/ref=6DEA491B01D7E06DC9859729EBF2899FB7B916078EB88E79C38A4FEB848DBD327592B77C4B8EBEF8ACC7C8DDFF9B9D7810F9B0FF0918ADG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4398</Words>
  <Characters>25071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2019-11-20T06:00:00Z</dcterms:created>
  <dcterms:modified xsi:type="dcterms:W3CDTF">2019-11-20T06:02:00Z</dcterms:modified>
</cp:coreProperties>
</file>